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2BFB94D5" w:rsidR="005831EA" w:rsidRPr="000465F0" w:rsidRDefault="00F16D01" w:rsidP="00F16D01">
      <w:pPr>
        <w:ind w:left="5812"/>
        <w:rPr>
          <w:color w:val="000000" w:themeColor="text1"/>
          <w:lang w:eastAsia="uk-UA"/>
        </w:rPr>
      </w:pPr>
      <w:r w:rsidRPr="000465F0">
        <w:rPr>
          <w:color w:val="000000" w:themeColor="text1"/>
          <w:lang w:eastAsia="uk-UA"/>
        </w:rPr>
        <w:t>Додаток №</w:t>
      </w:r>
      <w:r w:rsidR="00D0752A" w:rsidRPr="000465F0">
        <w:rPr>
          <w:color w:val="000000" w:themeColor="text1"/>
          <w:lang w:eastAsia="uk-UA"/>
        </w:rPr>
        <w:t xml:space="preserve"> </w:t>
      </w:r>
      <w:r w:rsidR="004822BF">
        <w:rPr>
          <w:color w:val="000000" w:themeColor="text1"/>
          <w:lang w:eastAsia="uk-UA"/>
        </w:rPr>
        <w:t>245</w:t>
      </w:r>
    </w:p>
    <w:p w14:paraId="189393D9" w14:textId="77777777" w:rsidR="005831EA" w:rsidRPr="000465F0" w:rsidRDefault="00F16D01" w:rsidP="00F16D01">
      <w:pPr>
        <w:ind w:left="5812"/>
        <w:rPr>
          <w:color w:val="000000" w:themeColor="text1"/>
          <w:lang w:eastAsia="uk-UA"/>
        </w:rPr>
      </w:pPr>
      <w:r w:rsidRPr="000465F0">
        <w:rPr>
          <w:color w:val="000000" w:themeColor="text1"/>
          <w:lang w:eastAsia="uk-UA"/>
        </w:rPr>
        <w:t>до н</w:t>
      </w:r>
      <w:r w:rsidR="005831EA" w:rsidRPr="000465F0">
        <w:rPr>
          <w:color w:val="000000" w:themeColor="text1"/>
          <w:lang w:eastAsia="uk-UA"/>
        </w:rPr>
        <w:t>аказ</w:t>
      </w:r>
      <w:r w:rsidRPr="000465F0">
        <w:rPr>
          <w:color w:val="000000" w:themeColor="text1"/>
          <w:lang w:eastAsia="uk-UA"/>
        </w:rPr>
        <w:t>у</w:t>
      </w:r>
      <w:r w:rsidR="005831EA" w:rsidRPr="000465F0">
        <w:rPr>
          <w:color w:val="000000" w:themeColor="text1"/>
          <w:lang w:eastAsia="uk-UA"/>
        </w:rPr>
        <w:t xml:space="preserve"> </w:t>
      </w:r>
      <w:r w:rsidRPr="000465F0">
        <w:rPr>
          <w:color w:val="000000" w:themeColor="text1"/>
          <w:lang w:eastAsia="uk-UA"/>
        </w:rPr>
        <w:t>директора департаменту</w:t>
      </w:r>
      <w:r w:rsidR="005831EA" w:rsidRPr="000465F0">
        <w:rPr>
          <w:color w:val="000000" w:themeColor="text1"/>
          <w:lang w:eastAsia="uk-UA"/>
        </w:rPr>
        <w:t xml:space="preserve"> соціальної політики  </w:t>
      </w:r>
      <w:r w:rsidRPr="000465F0">
        <w:rPr>
          <w:color w:val="000000" w:themeColor="text1"/>
          <w:lang w:eastAsia="uk-UA"/>
        </w:rPr>
        <w:t>міської ради</w:t>
      </w:r>
      <w:r w:rsidR="005831EA" w:rsidRPr="000465F0">
        <w:rPr>
          <w:color w:val="000000" w:themeColor="text1"/>
          <w:lang w:eastAsia="uk-UA"/>
        </w:rPr>
        <w:t xml:space="preserve"> </w:t>
      </w:r>
    </w:p>
    <w:p w14:paraId="709BAB38" w14:textId="5ED56FFE" w:rsidR="0069140D" w:rsidRPr="000465F0" w:rsidRDefault="00F97F8A" w:rsidP="0069140D">
      <w:pPr>
        <w:ind w:left="3540" w:firstLine="708"/>
        <w:contextualSpacing/>
        <w:jc w:val="center"/>
        <w:rPr>
          <w:color w:val="000000" w:themeColor="text1"/>
          <w:u w:val="single"/>
          <w:lang w:eastAsia="uk-UA"/>
        </w:rPr>
      </w:pPr>
      <w:bookmarkStart w:id="0" w:name="_GoBack"/>
      <w:bookmarkEnd w:id="0"/>
      <w:r w:rsidRPr="000465F0">
        <w:rPr>
          <w:color w:val="000000" w:themeColor="text1"/>
          <w:u w:val="single"/>
          <w:lang w:eastAsia="uk-UA"/>
        </w:rPr>
        <w:t xml:space="preserve">від </w:t>
      </w:r>
      <w:r w:rsidR="004822BF">
        <w:rPr>
          <w:color w:val="000000" w:themeColor="text1"/>
          <w:u w:val="single"/>
          <w:lang w:eastAsia="uk-UA"/>
        </w:rPr>
        <w:t>03</w:t>
      </w:r>
      <w:r w:rsidR="00515A23" w:rsidRPr="000465F0">
        <w:rPr>
          <w:color w:val="000000" w:themeColor="text1"/>
          <w:u w:val="single"/>
          <w:lang w:eastAsia="uk-UA"/>
        </w:rPr>
        <w:t>.0</w:t>
      </w:r>
      <w:r w:rsidR="004822BF">
        <w:rPr>
          <w:color w:val="000000" w:themeColor="text1"/>
          <w:u w:val="single"/>
          <w:lang w:eastAsia="uk-UA"/>
        </w:rPr>
        <w:t>1</w:t>
      </w:r>
      <w:r w:rsidR="00515A23" w:rsidRPr="000465F0">
        <w:rPr>
          <w:color w:val="000000" w:themeColor="text1"/>
          <w:u w:val="single"/>
          <w:lang w:eastAsia="uk-UA"/>
        </w:rPr>
        <w:t>.202</w:t>
      </w:r>
      <w:r w:rsidR="004822BF">
        <w:rPr>
          <w:color w:val="000000" w:themeColor="text1"/>
          <w:u w:val="single"/>
          <w:lang w:eastAsia="uk-UA"/>
        </w:rPr>
        <w:t>5</w:t>
      </w:r>
      <w:r w:rsidR="00515A23" w:rsidRPr="000465F0">
        <w:rPr>
          <w:color w:val="000000" w:themeColor="text1"/>
          <w:u w:val="single"/>
          <w:lang w:eastAsia="uk-UA"/>
        </w:rPr>
        <w:t xml:space="preserve">. № </w:t>
      </w:r>
      <w:r w:rsidR="004822BF">
        <w:rPr>
          <w:color w:val="000000" w:themeColor="text1"/>
          <w:u w:val="single"/>
          <w:lang w:eastAsia="uk-UA"/>
        </w:rPr>
        <w:t>3</w:t>
      </w:r>
      <w:r w:rsidR="00515A23" w:rsidRPr="000465F0">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43814EAB" w:rsidR="00201FED" w:rsidRPr="00EC3A13" w:rsidRDefault="00435798"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17DC7560" w:rsidR="00201FED" w:rsidRPr="000465F0" w:rsidRDefault="00A0764B" w:rsidP="00201FED">
      <w:pPr>
        <w:jc w:val="center"/>
        <w:rPr>
          <w:b/>
          <w:i/>
          <w:sz w:val="26"/>
          <w:szCs w:val="26"/>
        </w:rPr>
      </w:pPr>
      <w:r>
        <w:rPr>
          <w:b/>
          <w:i/>
          <w:sz w:val="26"/>
          <w:szCs w:val="26"/>
        </w:rPr>
        <w:t>«</w:t>
      </w:r>
      <w:r w:rsidR="000465F0" w:rsidRPr="000465F0">
        <w:rPr>
          <w:b/>
          <w:i/>
          <w:sz w:val="26"/>
          <w:szCs w:val="26"/>
        </w:rPr>
        <w:t>Прийняття рішення щодо надання соціальної послуг</w:t>
      </w:r>
      <w:bookmarkStart w:id="1" w:name="_Hlk2153438"/>
      <w:r w:rsidR="000465F0" w:rsidRPr="000465F0">
        <w:rPr>
          <w:b/>
          <w:i/>
          <w:sz w:val="26"/>
          <w:szCs w:val="26"/>
        </w:rPr>
        <w:t>и соціальний супровід сімей, у яких виховуються діти-сироти і діти, позбавлені батьківського піклування</w:t>
      </w:r>
      <w:r>
        <w:rPr>
          <w:b/>
          <w:i/>
          <w:sz w:val="26"/>
          <w:szCs w:val="26"/>
        </w:rPr>
        <w:t>»</w:t>
      </w:r>
      <w:r w:rsidR="000465F0" w:rsidRPr="000465F0">
        <w:rPr>
          <w:b/>
          <w:i/>
          <w:sz w:val="26"/>
          <w:szCs w:val="26"/>
        </w:rPr>
        <w:t xml:space="preserve"> </w:t>
      </w:r>
      <w:bookmarkEnd w:id="1"/>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547C9CA"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410069">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CC1CCD9" w14:textId="77777777" w:rsidR="00410069" w:rsidRDefault="00E20FFF" w:rsidP="001F181A">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3CD5AFB0"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390785F0" w:rsidR="007F6FF9" w:rsidRPr="00195097" w:rsidRDefault="00AE12FE" w:rsidP="00AE12FE">
            <w:pPr>
              <w:jc w:val="both"/>
            </w:pPr>
            <w:r>
              <w:t>Н</w:t>
            </w:r>
            <w:r w:rsidRPr="00050FA7">
              <w:t xml:space="preserve">аказ Міністерства соціальної політики України від </w:t>
            </w:r>
            <w:r w:rsidR="00F35AA6">
              <w:t>11</w:t>
            </w:r>
            <w:r>
              <w:t>.0</w:t>
            </w:r>
            <w:r w:rsidR="00F35AA6">
              <w:t>8</w:t>
            </w:r>
            <w:r>
              <w:t>.201</w:t>
            </w:r>
            <w:r w:rsidR="00F35AA6">
              <w:t>7</w:t>
            </w:r>
            <w:r>
              <w:t>р. №</w:t>
            </w:r>
            <w:r w:rsidR="00F35AA6">
              <w:t>1307</w:t>
            </w:r>
            <w:r>
              <w:t xml:space="preserve"> «</w:t>
            </w:r>
            <w:r w:rsidR="00F35AA6" w:rsidRPr="00F35AA6">
              <w:t>Про затвердження Державного стандарту соціального супроводу сімей, у яких виховуються діти-сироти і діти, позбавлені батьківського піклування</w:t>
            </w:r>
            <w:r w:rsidR="00AE38FD">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337BE809" w:rsidR="00AE12FE" w:rsidRPr="00195097" w:rsidRDefault="00AE12FE" w:rsidP="00AE12FE">
            <w:pPr>
              <w:jc w:val="both"/>
            </w:pPr>
            <w:r w:rsidRPr="00195097">
              <w:t>Положення про Вінницький міський центр соціальних служб, що затверджено рішенням Вінницької міської ради від 2</w:t>
            </w:r>
            <w:r>
              <w:t>3</w:t>
            </w:r>
            <w:r w:rsidRPr="00195097">
              <w:t>.08.202</w:t>
            </w:r>
            <w:r>
              <w:t>4</w:t>
            </w:r>
            <w:r w:rsidRPr="00195097">
              <w:t xml:space="preserve">р. № </w:t>
            </w:r>
            <w:r>
              <w:t>2411.</w:t>
            </w:r>
          </w:p>
        </w:tc>
      </w:tr>
      <w:tr w:rsidR="00AE12FE" w:rsidRPr="00EC3A13" w14:paraId="20EA3EFB" w14:textId="77777777" w:rsidTr="004C6FF2">
        <w:tc>
          <w:tcPr>
            <w:tcW w:w="10065" w:type="dxa"/>
            <w:gridSpan w:val="3"/>
          </w:tcPr>
          <w:p w14:paraId="31E7B3D2" w14:textId="4D2AEF6E" w:rsidR="00AE12FE" w:rsidRPr="00EC3A13" w:rsidRDefault="00AE12FE" w:rsidP="00C407C5">
            <w:pPr>
              <w:jc w:val="center"/>
              <w:rPr>
                <w:b/>
              </w:rPr>
            </w:pPr>
            <w:r w:rsidRPr="00EC3A13">
              <w:rPr>
                <w:b/>
              </w:rPr>
              <w:t xml:space="preserve">Умови отримання </w:t>
            </w:r>
            <w:r w:rsidR="00C407C5">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7E682ACD" w:rsidR="00AE12FE" w:rsidRPr="000465F0" w:rsidRDefault="000465F0" w:rsidP="00AE12FE">
            <w:pPr>
              <w:jc w:val="both"/>
              <w:rPr>
                <w:rStyle w:val="rvts0"/>
                <w:b/>
                <w:i/>
                <w:u w:val="single"/>
              </w:rPr>
            </w:pPr>
            <w:r>
              <w:rPr>
                <w:rStyle w:val="rvts0"/>
                <w:b/>
                <w:i/>
                <w:u w:val="single"/>
              </w:rPr>
              <w:t>Соціальну</w:t>
            </w:r>
            <w:r w:rsidR="00AE12FE" w:rsidRPr="000465F0">
              <w:rPr>
                <w:rStyle w:val="rvts0"/>
                <w:b/>
                <w:i/>
                <w:u w:val="single"/>
              </w:rPr>
              <w:t xml:space="preserve"> послуг</w:t>
            </w:r>
            <w:r>
              <w:rPr>
                <w:rStyle w:val="rvts0"/>
                <w:b/>
                <w:i/>
                <w:u w:val="single"/>
              </w:rPr>
              <w:t>у</w:t>
            </w:r>
            <w:r w:rsidR="00AE12FE" w:rsidRPr="000465F0">
              <w:rPr>
                <w:rStyle w:val="rvts0"/>
                <w:b/>
                <w:i/>
                <w:u w:val="single"/>
              </w:rPr>
              <w:t xml:space="preserve"> у Вінницькому міському центрі соціальних служб мають право</w:t>
            </w:r>
            <w:r>
              <w:rPr>
                <w:rStyle w:val="rvts0"/>
                <w:b/>
                <w:i/>
                <w:u w:val="single"/>
              </w:rPr>
              <w:t xml:space="preserve"> отримувати</w:t>
            </w:r>
            <w:r w:rsidR="00AE12FE" w:rsidRPr="000465F0">
              <w:rPr>
                <w:rStyle w:val="rvts0"/>
                <w:b/>
                <w:i/>
                <w:u w:val="single"/>
              </w:rPr>
              <w:t>:</w:t>
            </w:r>
          </w:p>
          <w:p w14:paraId="71E83900" w14:textId="74CBA0CF" w:rsidR="00AE12FE" w:rsidRPr="00195097" w:rsidRDefault="00AE12FE" w:rsidP="000465F0">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0465F0">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31C98C94" w14:textId="7DD33683" w:rsidR="00AE12FE" w:rsidRPr="00A11A08" w:rsidRDefault="00AE12FE" w:rsidP="000465F0">
            <w:pPr>
              <w:pStyle w:val="ad"/>
              <w:numPr>
                <w:ilvl w:val="0"/>
                <w:numId w:val="9"/>
              </w:numPr>
              <w:tabs>
                <w:tab w:val="left" w:pos="426"/>
              </w:tabs>
              <w:jc w:val="both"/>
              <w:rPr>
                <w:sz w:val="24"/>
                <w:szCs w:val="24"/>
                <w:lang w:val="uk-UA"/>
              </w:rPr>
            </w:pPr>
            <w:r>
              <w:rPr>
                <w:sz w:val="24"/>
                <w:szCs w:val="24"/>
                <w:lang w:val="uk-UA"/>
              </w:rPr>
              <w:lastRenderedPageBreak/>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00641CD6">
              <w:rPr>
                <w:sz w:val="24"/>
                <w:szCs w:val="24"/>
                <w:lang w:val="uk-UA"/>
              </w:rPr>
              <w:t xml:space="preserve"> патронатних вихователів.</w:t>
            </w:r>
          </w:p>
        </w:tc>
      </w:tr>
      <w:tr w:rsidR="00AE12FE" w:rsidRPr="00EC3A13" w14:paraId="11406BCC" w14:textId="77777777" w:rsidTr="004C6FF2">
        <w:tc>
          <w:tcPr>
            <w:tcW w:w="675" w:type="dxa"/>
          </w:tcPr>
          <w:p w14:paraId="7D09BE80" w14:textId="0232F6B4" w:rsidR="00AE12FE" w:rsidRPr="00EC3A13" w:rsidRDefault="00AE12FE" w:rsidP="00AE12F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E12FE" w:rsidRPr="00EC3A13" w:rsidRDefault="00AE12FE" w:rsidP="00AE12FE">
            <w:pPr>
              <w:jc w:val="both"/>
              <w:rPr>
                <w:lang w:eastAsia="uk-UA"/>
              </w:rPr>
            </w:pPr>
            <w:r w:rsidRPr="00EC3A13">
              <w:rPr>
                <w:lang w:eastAsia="ru-RU"/>
              </w:rPr>
              <w:t>Перелік необхідних документів</w:t>
            </w:r>
          </w:p>
        </w:tc>
        <w:tc>
          <w:tcPr>
            <w:tcW w:w="5988" w:type="dxa"/>
          </w:tcPr>
          <w:p w14:paraId="0C9B19F1" w14:textId="2BFA7E59" w:rsidR="00AE12FE" w:rsidRPr="006D4CB5" w:rsidRDefault="000465F0"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3CA64821" w14:textId="77777777" w:rsidR="00AE12FE" w:rsidRPr="000465F0" w:rsidRDefault="00AE12FE" w:rsidP="00AE12FE">
            <w:pPr>
              <w:pStyle w:val="HTML"/>
              <w:jc w:val="both"/>
              <w:rPr>
                <w:rFonts w:ascii="Times New Roman" w:hAnsi="Times New Roman" w:cs="Times New Roman"/>
                <w:b/>
                <w:i/>
                <w:u w:val="single"/>
                <w:lang w:val="uk-UA"/>
              </w:rPr>
            </w:pPr>
            <w:r w:rsidRPr="000465F0">
              <w:rPr>
                <w:rFonts w:ascii="Times New Roman" w:hAnsi="Times New Roman" w:cs="Times New Roman"/>
                <w:b/>
                <w:i/>
                <w:u w:val="single"/>
                <w:lang w:val="uk-UA"/>
              </w:rPr>
              <w:t>Пред’являються:</w:t>
            </w:r>
          </w:p>
          <w:p w14:paraId="4BFF6A34" w14:textId="7B677072" w:rsidR="00AE12FE" w:rsidRPr="006D4CB5" w:rsidRDefault="00AE12FE" w:rsidP="000465F0">
            <w:pPr>
              <w:pStyle w:val="HTML"/>
              <w:numPr>
                <w:ilvl w:val="0"/>
                <w:numId w:val="9"/>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209A1C9E" w14:textId="6E93EFB3" w:rsidR="00AE12FE" w:rsidRPr="006D4CB5" w:rsidRDefault="00AE12FE" w:rsidP="000465F0">
            <w:pPr>
              <w:pStyle w:val="HTML"/>
              <w:numPr>
                <w:ilvl w:val="0"/>
                <w:numId w:val="9"/>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489710" w14:textId="77777777" w:rsidR="00AE12FE" w:rsidRPr="006F5E47" w:rsidRDefault="00AE12FE" w:rsidP="00AE12FE">
            <w:pPr>
              <w:pStyle w:val="HTML"/>
              <w:jc w:val="both"/>
              <w:rPr>
                <w:rFonts w:ascii="Times New Roman" w:hAnsi="Times New Roman" w:cs="Times New Roman"/>
                <w:b/>
                <w:i/>
                <w:u w:val="single"/>
                <w:lang w:val="uk-UA"/>
              </w:rPr>
            </w:pPr>
            <w:r w:rsidRPr="006F5E47">
              <w:rPr>
                <w:rFonts w:ascii="Times New Roman" w:hAnsi="Times New Roman" w:cs="Times New Roman"/>
                <w:b/>
                <w:i/>
                <w:u w:val="single"/>
                <w:lang w:val="uk-UA"/>
              </w:rPr>
              <w:t>подаються:</w:t>
            </w:r>
          </w:p>
          <w:p w14:paraId="22D82D76"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5A54C9E1"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01D1978E"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60AFDBC1" w14:textId="77777777" w:rsidR="00AE12FE" w:rsidRPr="006D4CB5"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558E6BA8" w14:textId="1D9D0F5E" w:rsidR="00AE12FE" w:rsidRDefault="00AE12FE" w:rsidP="006F5E47">
            <w:pPr>
              <w:pStyle w:val="HTML"/>
              <w:numPr>
                <w:ilvl w:val="0"/>
                <w:numId w:val="9"/>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2B1702BF" w14:textId="77777777" w:rsidR="00D023BF" w:rsidRDefault="00D023BF" w:rsidP="006F5E47">
            <w:pPr>
              <w:pStyle w:val="HTML"/>
              <w:numPr>
                <w:ilvl w:val="0"/>
                <w:numId w:val="9"/>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D633AD4" w14:textId="0D6270A1" w:rsidR="00D023BF" w:rsidRDefault="00D023BF" w:rsidP="00D023BF">
            <w:pPr>
              <w:pStyle w:val="HTML"/>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p w14:paraId="76A0C8B3" w14:textId="6336AFD7" w:rsidR="00AE12FE" w:rsidRPr="00C1309B" w:rsidRDefault="00AE12FE" w:rsidP="006F5E47">
            <w:pPr>
              <w:pStyle w:val="HTML"/>
              <w:numPr>
                <w:ilvl w:val="0"/>
                <w:numId w:val="9"/>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sidR="00D023BF">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63B62848" w:rsidR="00AE12FE" w:rsidRPr="00AE12FE" w:rsidRDefault="006F5E47"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в разі технічної можливості.</w:t>
            </w:r>
          </w:p>
        </w:tc>
      </w:tr>
      <w:tr w:rsidR="00AE12FE" w:rsidRPr="00AE12FE" w14:paraId="5C63CF19" w14:textId="77777777" w:rsidTr="004C6FF2">
        <w:tc>
          <w:tcPr>
            <w:tcW w:w="675" w:type="dxa"/>
          </w:tcPr>
          <w:p w14:paraId="31FE5F45" w14:textId="211E70D6" w:rsidR="00AE12FE" w:rsidRPr="00AE12FE" w:rsidRDefault="00AE12FE" w:rsidP="00AE12FE">
            <w:pPr>
              <w:jc w:val="center"/>
            </w:pPr>
            <w:r>
              <w:lastRenderedPageBreak/>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3331E4DC" w:rsidR="00AE12FE" w:rsidRPr="006F5E47" w:rsidRDefault="006F5E47" w:rsidP="00641CD6">
            <w:pPr>
              <w:spacing w:after="150"/>
              <w:jc w:val="both"/>
              <w:rPr>
                <w:rStyle w:val="rvts0"/>
              </w:rPr>
            </w:pPr>
            <w:r>
              <w:t xml:space="preserve">Безоплатно </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26F53174" w:rsidR="00AE12FE" w:rsidRPr="00AE12FE" w:rsidRDefault="006F5E47"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326E18FF" w:rsidR="00AE12FE" w:rsidRPr="00AE12FE" w:rsidRDefault="006F5E47"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2"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3" w:name="o86"/>
            <w:bookmarkStart w:id="4" w:name="n56"/>
            <w:bookmarkStart w:id="5" w:name="n57"/>
            <w:bookmarkEnd w:id="2"/>
            <w:bookmarkEnd w:id="3"/>
            <w:bookmarkEnd w:id="4"/>
            <w:bookmarkEnd w:id="5"/>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7EB4A266" w:rsidR="00AE12FE" w:rsidRPr="00AE12FE" w:rsidRDefault="006F5E47"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6F5E47">
            <w:pPr>
              <w:pStyle w:val="HTML"/>
              <w:numPr>
                <w:ilvl w:val="0"/>
                <w:numId w:val="9"/>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6" w:name="n145"/>
            <w:bookmarkEnd w:id="6"/>
          </w:p>
          <w:p w14:paraId="29619B4B" w14:textId="77777777" w:rsidR="00AE12FE" w:rsidRPr="00AE12FE" w:rsidRDefault="00AE12FE" w:rsidP="006F5E47">
            <w:pPr>
              <w:pStyle w:val="HTML"/>
              <w:numPr>
                <w:ilvl w:val="0"/>
                <w:numId w:val="9"/>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6F5E47">
            <w:pPr>
              <w:pStyle w:val="rvps2"/>
              <w:numPr>
                <w:ilvl w:val="0"/>
                <w:numId w:val="9"/>
              </w:numPr>
              <w:spacing w:before="0" w:beforeAutospacing="0" w:after="0" w:afterAutospacing="0"/>
              <w:jc w:val="both"/>
              <w:rPr>
                <w:rStyle w:val="rvts0"/>
              </w:rPr>
            </w:pPr>
            <w:bookmarkStart w:id="7" w:name="n146"/>
            <w:bookmarkEnd w:id="7"/>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2C581270" w:rsidR="00AE12FE" w:rsidRPr="00AE12FE" w:rsidRDefault="006F5E47"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0D8C2701" w:rsidR="00AE12FE" w:rsidRPr="00AE12FE" w:rsidRDefault="00AE12FE" w:rsidP="00AE12FE">
            <w:pPr>
              <w:pStyle w:val="rvps2"/>
              <w:spacing w:before="0" w:beforeAutospacing="0"/>
              <w:jc w:val="both"/>
            </w:pPr>
            <w:r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5AAC5FD4" w14:textId="77777777"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B8B1B" w14:textId="77777777" w:rsidR="00D93E9F" w:rsidRDefault="00D93E9F" w:rsidP="001B541B">
      <w:r>
        <w:separator/>
      </w:r>
    </w:p>
  </w:endnote>
  <w:endnote w:type="continuationSeparator" w:id="0">
    <w:p w14:paraId="3D03D252" w14:textId="77777777" w:rsidR="00D93E9F" w:rsidRDefault="00D93E9F"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F4084" w14:textId="77777777" w:rsidR="00D93E9F" w:rsidRDefault="00D93E9F" w:rsidP="001B541B">
      <w:r>
        <w:separator/>
      </w:r>
    </w:p>
  </w:footnote>
  <w:footnote w:type="continuationSeparator" w:id="0">
    <w:p w14:paraId="2A5AAFC2" w14:textId="77777777" w:rsidR="00D93E9F" w:rsidRDefault="00D93E9F"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36827FAC" w:rsidR="00867530" w:rsidRDefault="00867530">
    <w:pPr>
      <w:pStyle w:val="a7"/>
      <w:jc w:val="center"/>
    </w:pPr>
    <w:r>
      <w:fldChar w:fldCharType="begin"/>
    </w:r>
    <w:r>
      <w:instrText>PAGE   \* MERGEFORMAT</w:instrText>
    </w:r>
    <w:r>
      <w:fldChar w:fldCharType="separate"/>
    </w:r>
    <w:r w:rsidR="0088211D">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6437A2"/>
    <w:multiLevelType w:val="hybridMultilevel"/>
    <w:tmpl w:val="14F691B2"/>
    <w:lvl w:ilvl="0" w:tplc="25548462">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F0C3681"/>
    <w:multiLevelType w:val="hybridMultilevel"/>
    <w:tmpl w:val="5ACA71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7"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8"/>
  </w:num>
  <w:num w:numId="6">
    <w:abstractNumId w:val="0"/>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465F0"/>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1F181A"/>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F67B3"/>
    <w:rsid w:val="002F7859"/>
    <w:rsid w:val="003003E7"/>
    <w:rsid w:val="00300593"/>
    <w:rsid w:val="00307CB9"/>
    <w:rsid w:val="00335653"/>
    <w:rsid w:val="00342E6B"/>
    <w:rsid w:val="00343BDB"/>
    <w:rsid w:val="00346A88"/>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10069"/>
    <w:rsid w:val="0042444A"/>
    <w:rsid w:val="00435798"/>
    <w:rsid w:val="00435D13"/>
    <w:rsid w:val="004766BE"/>
    <w:rsid w:val="00476FBB"/>
    <w:rsid w:val="00481738"/>
    <w:rsid w:val="004822BF"/>
    <w:rsid w:val="004823FC"/>
    <w:rsid w:val="0048495D"/>
    <w:rsid w:val="004B094C"/>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E70B9"/>
    <w:rsid w:val="005F7B13"/>
    <w:rsid w:val="00603FD0"/>
    <w:rsid w:val="006145D5"/>
    <w:rsid w:val="00621B0C"/>
    <w:rsid w:val="0062576E"/>
    <w:rsid w:val="00633DCB"/>
    <w:rsid w:val="006351A3"/>
    <w:rsid w:val="00636CC8"/>
    <w:rsid w:val="00641CD6"/>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5E47"/>
    <w:rsid w:val="006F788B"/>
    <w:rsid w:val="00702C93"/>
    <w:rsid w:val="00703A7B"/>
    <w:rsid w:val="00703FDE"/>
    <w:rsid w:val="00715EA8"/>
    <w:rsid w:val="00722B7D"/>
    <w:rsid w:val="007249AB"/>
    <w:rsid w:val="007364CE"/>
    <w:rsid w:val="00736FD3"/>
    <w:rsid w:val="00750B2D"/>
    <w:rsid w:val="00756801"/>
    <w:rsid w:val="00784C8A"/>
    <w:rsid w:val="007866A4"/>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737CF"/>
    <w:rsid w:val="0088211D"/>
    <w:rsid w:val="00887D20"/>
    <w:rsid w:val="008909E6"/>
    <w:rsid w:val="008958CD"/>
    <w:rsid w:val="008A31F9"/>
    <w:rsid w:val="008B1AFB"/>
    <w:rsid w:val="008B43A1"/>
    <w:rsid w:val="008C16E0"/>
    <w:rsid w:val="008C602F"/>
    <w:rsid w:val="008D40A7"/>
    <w:rsid w:val="008F11E6"/>
    <w:rsid w:val="008F6090"/>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E6808"/>
    <w:rsid w:val="009F10AD"/>
    <w:rsid w:val="00A05BE6"/>
    <w:rsid w:val="00A0764B"/>
    <w:rsid w:val="00A11A08"/>
    <w:rsid w:val="00A26C43"/>
    <w:rsid w:val="00A35537"/>
    <w:rsid w:val="00A46AD7"/>
    <w:rsid w:val="00A53CE2"/>
    <w:rsid w:val="00AA5070"/>
    <w:rsid w:val="00AB179D"/>
    <w:rsid w:val="00AB61C9"/>
    <w:rsid w:val="00AD3809"/>
    <w:rsid w:val="00AE12FE"/>
    <w:rsid w:val="00AE38FD"/>
    <w:rsid w:val="00AE3C21"/>
    <w:rsid w:val="00AE535F"/>
    <w:rsid w:val="00AF1875"/>
    <w:rsid w:val="00B061FD"/>
    <w:rsid w:val="00B0789E"/>
    <w:rsid w:val="00B11305"/>
    <w:rsid w:val="00B1288A"/>
    <w:rsid w:val="00B279A5"/>
    <w:rsid w:val="00B33668"/>
    <w:rsid w:val="00B4008B"/>
    <w:rsid w:val="00B5086F"/>
    <w:rsid w:val="00B50939"/>
    <w:rsid w:val="00B576DE"/>
    <w:rsid w:val="00B601A0"/>
    <w:rsid w:val="00B64DC8"/>
    <w:rsid w:val="00B70CFD"/>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33EFF"/>
    <w:rsid w:val="00C342B4"/>
    <w:rsid w:val="00C37522"/>
    <w:rsid w:val="00C407C5"/>
    <w:rsid w:val="00C5297C"/>
    <w:rsid w:val="00C76FEF"/>
    <w:rsid w:val="00CA0E43"/>
    <w:rsid w:val="00CA35A2"/>
    <w:rsid w:val="00CB491C"/>
    <w:rsid w:val="00CC2EA2"/>
    <w:rsid w:val="00CD291F"/>
    <w:rsid w:val="00CE6ED0"/>
    <w:rsid w:val="00CF35AA"/>
    <w:rsid w:val="00CF47F3"/>
    <w:rsid w:val="00D023BF"/>
    <w:rsid w:val="00D0752A"/>
    <w:rsid w:val="00D12C24"/>
    <w:rsid w:val="00D27987"/>
    <w:rsid w:val="00D43E87"/>
    <w:rsid w:val="00D57434"/>
    <w:rsid w:val="00D57DFB"/>
    <w:rsid w:val="00D63103"/>
    <w:rsid w:val="00D722DC"/>
    <w:rsid w:val="00D740FD"/>
    <w:rsid w:val="00D86ACC"/>
    <w:rsid w:val="00D93E9F"/>
    <w:rsid w:val="00D96180"/>
    <w:rsid w:val="00DB41D8"/>
    <w:rsid w:val="00DC3008"/>
    <w:rsid w:val="00DC36F3"/>
    <w:rsid w:val="00DD2AB7"/>
    <w:rsid w:val="00DF3194"/>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C61EF"/>
    <w:rsid w:val="00EE206A"/>
    <w:rsid w:val="00EE3873"/>
    <w:rsid w:val="00F16D01"/>
    <w:rsid w:val="00F20E91"/>
    <w:rsid w:val="00F35AA6"/>
    <w:rsid w:val="00F40AB5"/>
    <w:rsid w:val="00F41D6A"/>
    <w:rsid w:val="00F74284"/>
    <w:rsid w:val="00F75DED"/>
    <w:rsid w:val="00F80DE5"/>
    <w:rsid w:val="00F81B7A"/>
    <w:rsid w:val="00F81BD4"/>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FUA27UETQC2X-86-176878</_dlc_DocId>
    <_dlc_DocIdUrl xmlns="c27bb2c1-a177-45d1-b251-525dd66ab087">
      <Url>http://dpszn.vmr.gov.ua/vk/_layouts/DocIdRedir.aspx?ID=FUA27UETQC2X-86-176878</Url>
      <Description>FUA27UETQC2X-86-176878</Description>
    </_dlc_DocIdUrl>
  </documentManagement>
</p:properties>
</file>

<file path=customXml/itemProps1.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3.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4.xml><?xml version="1.0" encoding="utf-8"?>
<ds:datastoreItem xmlns:ds="http://schemas.openxmlformats.org/officeDocument/2006/customXml" ds:itemID="{A99ABF2B-EEAF-4E49-9E6A-C924309767FD}">
  <ds:schemaRefs>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http://www.w3.org/XML/1998/namespace"/>
    <ds:schemaRef ds:uri="http://schemas.microsoft.com/office/2006/metadata/properties"/>
    <ds:schemaRef ds:uri="http://schemas.openxmlformats.org/package/2006/metadata/core-properties"/>
    <ds:schemaRef ds:uri="c27bb2c1-a177-45d1-b251-525dd66ab087"/>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922</Words>
  <Characters>5262</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14</cp:revision>
  <cp:lastPrinted>2025-03-05T06:34:00Z</cp:lastPrinted>
  <dcterms:created xsi:type="dcterms:W3CDTF">2024-09-23T12:04:00Z</dcterms:created>
  <dcterms:modified xsi:type="dcterms:W3CDTF">2025-03-05T06:34:00Z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711e182a-1947-4705-858a-95763c3d7a89</vt:lpwstr>
  </property>
</Properties>
</file>